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BF" w:rsidRPr="00210BBF" w:rsidRDefault="00210BBF" w:rsidP="00210BBF">
      <w:pPr>
        <w:jc w:val="right"/>
        <w:rPr>
          <w:b/>
          <w:i/>
          <w:sz w:val="24"/>
          <w:szCs w:val="24"/>
        </w:rPr>
      </w:pPr>
      <w:r w:rsidRPr="00210BBF">
        <w:rPr>
          <w:b/>
          <w:i/>
          <w:sz w:val="24"/>
          <w:szCs w:val="24"/>
        </w:rPr>
        <w:t>Z2</w:t>
      </w:r>
      <w:r w:rsidRPr="00210BBF">
        <w:rPr>
          <w:b/>
          <w:i/>
          <w:sz w:val="24"/>
          <w:szCs w:val="24"/>
        </w:rPr>
        <w:t>_3_2_1</w:t>
      </w: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</w:p>
    <w:p w:rsidR="009D278A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>Podmiotowość i autonomia szkoły oraz kluczowa rola dyrektora szkoły/placówki w kompleksowym wspomaganiu</w:t>
      </w:r>
      <w:r>
        <w:rPr>
          <w:rStyle w:val="Odwoanieprzypisudolnego"/>
          <w:b/>
          <w:sz w:val="24"/>
          <w:szCs w:val="24"/>
        </w:rPr>
        <w:footnoteReference w:id="1"/>
      </w:r>
      <w:r w:rsidRPr="00210BBF">
        <w:rPr>
          <w:b/>
          <w:sz w:val="24"/>
          <w:szCs w:val="24"/>
        </w:rPr>
        <w:t xml:space="preserve"> </w:t>
      </w:r>
    </w:p>
    <w:p w:rsid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Odpowiedzialność za efekty rozwoju szkoły spoczywa zarówno na szkole, jak i na organie prowadzącym. Dla JST momentem decydującym jest określenie priorytetów w planie strategicznym, które będą wpływać na rozwój jakościowy zarządzanych szkół/placówek. Zarządzanie szkołą spoczywa na barkach dyrektora i z jego perspektywy jest oceniane. Kluczowe jest, aby dyrektor pracował w oparciu o koncepcję rozwoju opracowaną i akceptowaną przez wszystkich interesariuszy, tj. nauczycieli, uczniów i rodziców oraz przedstawicieli JST. Istotna jest też postawa dyrektora szkoły/placówki, jako osoby zaangażowanej, wspierającej, współpracującej i motywującej innych do działania. </w:t>
      </w:r>
    </w:p>
    <w:p w:rsid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>Ważne!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Dyrektorzy kierujący procesem rozwoju szkoły potrzebują doskonalenia umiejętności w zakresie: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 xml:space="preserve">diagnozowania potrzeb rozwojowych szkoły,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 xml:space="preserve">planowania, organizowania działań rozwojowych,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 xml:space="preserve">motywowania i wspierania nauczycieli w rozwoju,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>kierowania zmianą,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>rozwiązywania bieżących problemów,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>współpracy z zewnętrznymi ekspertami w zakresie procesowego wspomagania.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lastRenderedPageBreak/>
        <w:t xml:space="preserve">Zadaniem dyrektora jest również inicjowanie indywidualnego i zespołowego doskonalenia nauczycieli. Jednak ważne jest, aby decyzje te były wspólnie podejmowane z zespołem nauczycieli. Takie rozwiązanie umożliwia organizowanie doskonalenia w formie procesowego wspomagania. 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>Rola dyrektora w przepisach prawa</w:t>
      </w: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 xml:space="preserve">Art. 7 ust. 2 pkt 4 ustawy Karta Nauczyciela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„2. Dyrektor szkoły odpowiedzialny jest w szczególności za: (…)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4) zapewnienie pomocy nauczycielom w realizacji ich zadań i ich doskonaleniu zawodowym”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 xml:space="preserve">§ 6 ust. 1 Rozporządzenia Ministra Edukacji Narodowej i Sportu z dnia 29 marca 2002 r.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210BBF">
        <w:rPr>
          <w:sz w:val="24"/>
          <w:szCs w:val="24"/>
        </w:rPr>
        <w:t>1. Na każdy rok szkolny dyrektor szkoły lub placówki określa potrzeby w zakresie doskonalenia zawodowego nauczycieli szkoły lub placówki, uwzględniając: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   1) wyniki ewaluacji wewnętrznej i zewnętrznej oraz wynikające z nich wnioski,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   2) wyniki odpowiednio sprawdzianu, egzaminu gimnazjalnego, egzaminu potwierdzającego kwalifikacje w zawodzie i egzaminu maturalnego,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   3) zadania związane z realizacją podstawy programowej,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   4) wymagania wobec szkół i placówek, określone w przepisach wydanych na podstawie art. 21a ust. 3 ustawy z dnia 7 września 1991 r. o systemie oświaty,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   5) wnioski nauczycieli o dofinansowanie form doskonalenia zawodowego, o których mowa w § 2 ust. 2.”</w:t>
      </w: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lastRenderedPageBreak/>
        <w:t xml:space="preserve">§ 24 ust.1 pkt 3 Rozporządzenia Ministra Edukacji Narodowej z dnia 27 sierpnia w sprawie nadzoru pedagogicznego 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„1. Dyrektor szkoły (…)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3) wspomaga nauczycieli w realizacji ich zadań, w szczególności przez: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a) diagnozę pracy szkoły lub placówki,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b) planowanie działań rozwojowych, w tym motywowanie nauczycieli do doskonalenia zawodowego,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c) prowadzenie działań rozwojowych, w tym organizowanie szkoleń i narad.”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>Rozporządzenie Ministra Edukacji Narodowej dnia 6 sierpnia 2015 r. w sprawie wymagań wobec szkół i placówek</w:t>
      </w:r>
      <w:r>
        <w:rPr>
          <w:rStyle w:val="Odwoanieprzypisudolnego"/>
          <w:b/>
          <w:sz w:val="24"/>
          <w:szCs w:val="24"/>
        </w:rPr>
        <w:footnoteReference w:id="2"/>
      </w:r>
      <w:r w:rsidRPr="00210BB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(uchylone z dn. 01.09.2017 r.)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Fragment charakterystyki wymagania 12 – Zarządzanie szkołą lub placówką służy jej rozwojowi: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a) na poziomie podstawowym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„Zarządzanie szkołą lub placówką sprzyja indywidualnej i zespołowej pracy nauczycieli oraz doskonaleniu zawodowemu”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b) na poziomie wysokim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„Dyrektor szkoły lub placówki podejmuje skuteczne działania zapewniające szkole lub placówce wspomaganie zewnętrzne odpowiednie do jej potrzeb”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</w:p>
    <w:p w:rsid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b/>
          <w:sz w:val="24"/>
          <w:szCs w:val="24"/>
        </w:rPr>
        <w:t>Rozporządzenie Ministra Edukacji Narodowej z dnia 11 sierpnia 2017 r. w sprawie wymagań wobec szkół i placówek z dn. 11 sierpnia 2017 r.</w:t>
      </w:r>
      <w:r>
        <w:rPr>
          <w:rStyle w:val="Odwoanieprzypisudolnego"/>
          <w:b/>
          <w:sz w:val="24"/>
          <w:szCs w:val="24"/>
        </w:rPr>
        <w:footnoteReference w:id="3"/>
      </w:r>
      <w:r w:rsidRPr="00210BBF">
        <w:rPr>
          <w:sz w:val="24"/>
          <w:szCs w:val="24"/>
        </w:rPr>
        <w:t xml:space="preserve">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lastRenderedPageBreak/>
        <w:t>Fragme</w:t>
      </w:r>
      <w:r>
        <w:rPr>
          <w:sz w:val="24"/>
          <w:szCs w:val="24"/>
        </w:rPr>
        <w:t xml:space="preserve">nt charakterystyki wymagania </w:t>
      </w:r>
      <w:r w:rsidRPr="00210BBF">
        <w:rPr>
          <w:sz w:val="24"/>
          <w:szCs w:val="24"/>
        </w:rPr>
        <w:t>– Zarządzanie szkołą l</w:t>
      </w:r>
      <w:r>
        <w:rPr>
          <w:sz w:val="24"/>
          <w:szCs w:val="24"/>
        </w:rPr>
        <w:t>ub placówką służy jej rozwojowi</w:t>
      </w:r>
      <w:r>
        <w:rPr>
          <w:rStyle w:val="Odwoanieprzypisudolnego"/>
          <w:sz w:val="24"/>
          <w:szCs w:val="24"/>
        </w:rPr>
        <w:footnoteReference w:id="4"/>
      </w:r>
      <w:r w:rsidR="00EB2FB9">
        <w:rPr>
          <w:sz w:val="24"/>
          <w:szCs w:val="24"/>
        </w:rPr>
        <w:t>.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210BBF">
        <w:rPr>
          <w:sz w:val="24"/>
          <w:szCs w:val="24"/>
        </w:rPr>
        <w:t>Zarządzanie szkołą lub placówką koncentruje się na zapewnieniu warunków organizacyj</w:t>
      </w:r>
      <w:r>
        <w:rPr>
          <w:sz w:val="24"/>
          <w:szCs w:val="24"/>
        </w:rPr>
        <w:t xml:space="preserve">nych odpowiednich do realizacji </w:t>
      </w:r>
      <w:r w:rsidRPr="00210BBF">
        <w:rPr>
          <w:sz w:val="24"/>
          <w:szCs w:val="24"/>
        </w:rPr>
        <w:t>zadań dydaktycznych, wychowawczych i opiekuńczych.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W procesie zarządzania wykorzystuje się wnioski wynikające ze sprawowanego nadzoru pedagogicznego.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Podejmuje się działania zapewniające szkole lub placówce wspomaganie zewnętrzne o</w:t>
      </w:r>
      <w:r>
        <w:rPr>
          <w:sz w:val="24"/>
          <w:szCs w:val="24"/>
        </w:rPr>
        <w:t xml:space="preserve">dpowiednie do potrzeb i służące </w:t>
      </w:r>
      <w:r w:rsidRPr="00210BBF">
        <w:rPr>
          <w:sz w:val="24"/>
          <w:szCs w:val="24"/>
        </w:rPr>
        <w:t>rozwojowi szkoły lub placówki.</w:t>
      </w:r>
    </w:p>
    <w:p w:rsid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W szkole lub placówce są ustalane i przestrzegane procedury dotyczące bezpieczeństwa, w tym sposobów dz</w:t>
      </w:r>
      <w:r>
        <w:rPr>
          <w:sz w:val="24"/>
          <w:szCs w:val="24"/>
        </w:rPr>
        <w:t xml:space="preserve">iałania </w:t>
      </w:r>
      <w:r w:rsidRPr="00210BBF">
        <w:rPr>
          <w:sz w:val="24"/>
          <w:szCs w:val="24"/>
        </w:rPr>
        <w:t>w sytuacjach trudnych i kryzysowych</w:t>
      </w:r>
      <w:r>
        <w:rPr>
          <w:sz w:val="24"/>
          <w:szCs w:val="24"/>
        </w:rPr>
        <w:t>”</w:t>
      </w:r>
      <w:r w:rsidRPr="00210BBF">
        <w:rPr>
          <w:sz w:val="24"/>
          <w:szCs w:val="24"/>
        </w:rPr>
        <w:t>.</w:t>
      </w:r>
    </w:p>
    <w:p w:rsidR="00EB2FB9" w:rsidRDefault="00EB2FB9" w:rsidP="00210BBF">
      <w:pPr>
        <w:spacing w:line="360" w:lineRule="auto"/>
        <w:jc w:val="both"/>
        <w:rPr>
          <w:sz w:val="24"/>
          <w:szCs w:val="24"/>
        </w:rPr>
      </w:pPr>
    </w:p>
    <w:p w:rsidR="00EB2FB9" w:rsidRPr="00210BBF" w:rsidRDefault="00EB2FB9" w:rsidP="00EB2F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opisu tego wymagania zarówno w poprzednim Rozporządzeniu jak i obecnym, r</w:t>
      </w:r>
      <w:r w:rsidRPr="00210BBF">
        <w:rPr>
          <w:sz w:val="24"/>
          <w:szCs w:val="24"/>
        </w:rPr>
        <w:t>olą zarządzających w JST jest inicjowanie współpracy z dyrektorami i tworzenie przestrzeni umożliwiającej wdrożenie procesowego wspomagania jako skutecznego narzędzia wspierającego budowanie jakości pracy szkoły/placówki.</w:t>
      </w:r>
    </w:p>
    <w:p w:rsidR="00EB2FB9" w:rsidRDefault="00EB2FB9" w:rsidP="00210BBF">
      <w:pPr>
        <w:spacing w:line="360" w:lineRule="auto"/>
        <w:jc w:val="both"/>
        <w:rPr>
          <w:sz w:val="24"/>
          <w:szCs w:val="24"/>
        </w:rPr>
      </w:pPr>
    </w:p>
    <w:p w:rsidR="00DB0CD5" w:rsidRPr="00DB0CD5" w:rsidRDefault="00DB0CD5" w:rsidP="00DB0CD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b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b/>
          <w:color w:val="000000" w:themeColor="text1"/>
          <w:u w:color="000000" w:themeColor="text1"/>
          <w:lang w:eastAsia="en-US"/>
        </w:rPr>
        <w:t>Zadania dyrektora w realizacji kompleksowego wspomagania (opracowanie M. Hajdukiewicz)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określenie obszaru do rozwoju – wspólnie z nauczycielami, we współpracy z osobą wspomagającą;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przygotowanie rocznego planu wspomagania (dokument ten może być tożsamy z planem nadzoru pedagogicznego w zakresie dotyczącym doskonalenia nauczycieli i planowania rozwoju szkoły) – we współpracy z osobą wspomagającą i nauczycielami;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aktywny udział w zaplanowanych formach doskonalenia, konsultacjach;</w:t>
      </w:r>
    </w:p>
    <w:p w:rsid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lastRenderedPageBreak/>
        <w:t>wdrażanie nowych umiejętności i wypracowanych procedur;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określenie obszaru do rozwoju – wspólnie z nauczycielami, we współpracy z osobą wspomagającą;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przygotowanie rocznego planu wspomagania (dokument ten może być tożsamy z planem nadzoru pedagogicznego w zakresie dotyczącym doskonalenia nauczycieli i planowania rozwoju szkoły) – we współpracy z osobą wspomagającą i nauczycielami;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aktywny udział w zaplanowanych formach doskonalenia, konsultacjach;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wdrażanie nowych umiejętności i wypracowanych procedur;</w:t>
      </w:r>
    </w:p>
    <w:p w:rsidR="00DB0CD5" w:rsidRDefault="00DB0CD5" w:rsidP="00DB0CD5">
      <w:pPr>
        <w:pStyle w:val="Akapitzlist"/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</w:p>
    <w:p w:rsidR="00DB0CD5" w:rsidRPr="00DB0CD5" w:rsidRDefault="00DB0CD5" w:rsidP="00DB0CD5">
      <w:pPr>
        <w:pStyle w:val="Akapitzlist"/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</w:p>
    <w:p w:rsidR="00DB0CD5" w:rsidRDefault="00DB0CD5" w:rsidP="00210BBF">
      <w:pPr>
        <w:spacing w:line="360" w:lineRule="auto"/>
        <w:jc w:val="both"/>
        <w:rPr>
          <w:sz w:val="24"/>
          <w:szCs w:val="24"/>
        </w:rPr>
      </w:pPr>
      <w:r w:rsidRPr="00DB0CD5">
        <w:rPr>
          <w:sz w:val="24"/>
          <w:szCs w:val="24"/>
        </w:rPr>
        <w:t>Dyrektor może sam poprowad</w:t>
      </w:r>
      <w:r>
        <w:rPr>
          <w:sz w:val="24"/>
          <w:szCs w:val="24"/>
        </w:rPr>
        <w:t xml:space="preserve">zić wspomaganie lub skorzystać </w:t>
      </w:r>
      <w:r w:rsidRPr="00DB0CD5">
        <w:rPr>
          <w:sz w:val="24"/>
          <w:szCs w:val="24"/>
        </w:rPr>
        <w:t>z pomocy instytucji, których z</w:t>
      </w:r>
      <w:r>
        <w:rPr>
          <w:sz w:val="24"/>
          <w:szCs w:val="24"/>
        </w:rPr>
        <w:t xml:space="preserve">adaniem jest wspomaganie szkół </w:t>
      </w:r>
      <w:r w:rsidRPr="00DB0CD5">
        <w:rPr>
          <w:sz w:val="24"/>
          <w:szCs w:val="24"/>
        </w:rPr>
        <w:t>i przedszkoli.</w:t>
      </w:r>
    </w:p>
    <w:p w:rsidR="00DB0CD5" w:rsidRDefault="00DB0CD5" w:rsidP="00210BBF">
      <w:pPr>
        <w:spacing w:line="360" w:lineRule="auto"/>
        <w:jc w:val="both"/>
        <w:rPr>
          <w:sz w:val="24"/>
          <w:szCs w:val="24"/>
        </w:rPr>
      </w:pPr>
    </w:p>
    <w:p w:rsidR="00DB0CD5" w:rsidRPr="00DB0CD5" w:rsidRDefault="00DB0CD5" w:rsidP="00DB0CD5">
      <w:pPr>
        <w:spacing w:line="360" w:lineRule="auto"/>
        <w:jc w:val="both"/>
        <w:rPr>
          <w:b/>
          <w:sz w:val="24"/>
          <w:szCs w:val="24"/>
        </w:rPr>
      </w:pPr>
      <w:r w:rsidRPr="00DB0CD5">
        <w:rPr>
          <w:b/>
          <w:sz w:val="24"/>
          <w:szCs w:val="24"/>
        </w:rPr>
        <w:t xml:space="preserve">Zalety nowego systemu wsparcia szkoły dla </w:t>
      </w:r>
      <w:r>
        <w:rPr>
          <w:b/>
          <w:sz w:val="24"/>
          <w:szCs w:val="24"/>
        </w:rPr>
        <w:t>dyrektorów szkół i placówek oraz dla samorządów</w:t>
      </w:r>
      <w:r>
        <w:rPr>
          <w:rStyle w:val="Odwoanieprzypisudolnego"/>
          <w:b/>
          <w:sz w:val="24"/>
          <w:szCs w:val="24"/>
        </w:rPr>
        <w:footnoteReference w:id="5"/>
      </w:r>
    </w:p>
    <w:p w:rsidR="00DB0CD5" w:rsidRPr="00DB0CD5" w:rsidRDefault="00DB0CD5" w:rsidP="00DB0CD5">
      <w:pPr>
        <w:spacing w:line="360" w:lineRule="auto"/>
        <w:jc w:val="both"/>
        <w:rPr>
          <w:sz w:val="24"/>
          <w:szCs w:val="24"/>
        </w:rPr>
      </w:pPr>
      <w:r w:rsidRPr="00DB0CD5">
        <w:rPr>
          <w:sz w:val="24"/>
          <w:szCs w:val="24"/>
          <w:u w:val="single"/>
        </w:rPr>
        <w:t>Dyrektorzy szkół i placówek</w:t>
      </w:r>
      <w:r w:rsidRPr="00DB0CD5">
        <w:rPr>
          <w:sz w:val="24"/>
          <w:szCs w:val="24"/>
        </w:rPr>
        <w:t>, którzy otrzymają pomoc za</w:t>
      </w:r>
      <w:r>
        <w:rPr>
          <w:sz w:val="24"/>
          <w:szCs w:val="24"/>
        </w:rPr>
        <w:t xml:space="preserve">równo w bieżącym organizowaniu </w:t>
      </w:r>
      <w:r w:rsidRPr="00DB0CD5">
        <w:rPr>
          <w:sz w:val="24"/>
          <w:szCs w:val="24"/>
        </w:rPr>
        <w:t>pracy szkoły, jak i przygotowaniu się do zmian wprowadzanych w systemie oświaty</w:t>
      </w:r>
    </w:p>
    <w:p w:rsidR="00DB0CD5" w:rsidRPr="00DB0CD5" w:rsidRDefault="00DB0CD5" w:rsidP="00DB0CD5">
      <w:pPr>
        <w:spacing w:line="360" w:lineRule="auto"/>
        <w:jc w:val="both"/>
        <w:rPr>
          <w:sz w:val="24"/>
          <w:szCs w:val="24"/>
        </w:rPr>
      </w:pPr>
      <w:r w:rsidRPr="00DB0CD5">
        <w:rPr>
          <w:sz w:val="24"/>
          <w:szCs w:val="24"/>
        </w:rPr>
        <w:t>Najważniejsze dla dyrektorów zalety wprowadzenia nowego systemu wsparcia: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pomoc w postawieniu rzetelnej diagnozy potrzeb szkoły oraz określeniu obszarów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wymagających szczególnego wsparcia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zespolenie systemu z aktualnymi potrzebami konkretnej szkoły</w:t>
      </w:r>
    </w:p>
    <w:p w:rsid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ułatwienie kontaktów ze wszystkimi instytucjami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odpowiedzialnymi za udzielanie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pomocy uczniom, rodzicom i nauczycielom (dyrektor kontaktuje się z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jedną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instytucją, które odpowiada za organizacje cało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ści wsparcia; dyrektor nie musi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„martwić się” oddzielnie o współpracę z pora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dnią, placówką doskonalenia czy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biblioteką pedagogiczną)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lastRenderedPageBreak/>
        <w:t>podmiotowość dyrektora w podejmowaniu decyzji (dyrektor formy wspomagania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oraz określa, w których obszarach pracy szkoły powinny koncentrować się działania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wspierające w danym roku)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ujęcie w propozycjach działań obszarów pracy szkoły bezpośrednio związanych ze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zmianami wdrażanymi w edukacji (między innymi budowa szkolnego programu pracy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z uczniem o specjalnych potrzebach edukacyjnych, przygotowanie do ewaluacji</w:t>
      </w:r>
      <w:r w:rsidRPr="00DB0CD5"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zewnętrznej, prowadzenie ewaluacji wewnętrznej, projekt edukacyjny, doradztwo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edukacyjno-zawodowe)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możliwość udziału w lokalnym forum wymiany doświadczeń (spotkania z innymi</w:t>
      </w:r>
    </w:p>
    <w:p w:rsidR="00DB0CD5" w:rsidRPr="00DB0CD5" w:rsidRDefault="00DB0CD5" w:rsidP="00DB0CD5">
      <w:pPr>
        <w:pStyle w:val="Akapitzlist"/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dyrektorami, spotkania i warsztaty tematyczne związane z wybranymi problemami,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pomoc w zakresie wiedzy prawnej, wsparcie samokształcenia dyrektorów)</w:t>
      </w:r>
    </w:p>
    <w:p w:rsid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dostęp do aktualnej informacji pedagogicznej, w tym bazy zasobów związanych ze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wspomaganiem (materiały dydaktyczne, przykłady dobrych praktyk, baza ekspertów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– specjalistów w danej dziedzinie)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.</w:t>
      </w:r>
    </w:p>
    <w:p w:rsidR="00DB0CD5" w:rsidRDefault="00DB0CD5" w:rsidP="00DB0CD5">
      <w:pPr>
        <w:spacing w:line="360" w:lineRule="auto"/>
        <w:jc w:val="both"/>
      </w:pPr>
    </w:p>
    <w:p w:rsidR="00DB0CD5" w:rsidRDefault="00DB0CD5" w:rsidP="00DB0CD5">
      <w:pPr>
        <w:spacing w:line="360" w:lineRule="auto"/>
        <w:jc w:val="both"/>
      </w:pPr>
    </w:p>
    <w:p w:rsidR="00DB0CD5" w:rsidRPr="00DB0CD5" w:rsidRDefault="00DB0CD5" w:rsidP="00DB0CD5">
      <w:pPr>
        <w:spacing w:line="360" w:lineRule="auto"/>
        <w:jc w:val="both"/>
        <w:rPr>
          <w:sz w:val="24"/>
          <w:szCs w:val="24"/>
        </w:rPr>
      </w:pPr>
      <w:r w:rsidRPr="00DB0CD5">
        <w:rPr>
          <w:sz w:val="24"/>
          <w:szCs w:val="24"/>
          <w:u w:val="single"/>
        </w:rPr>
        <w:t>Samorządy lokalne</w:t>
      </w:r>
      <w:r w:rsidRPr="00DB0CD5">
        <w:rPr>
          <w:sz w:val="24"/>
          <w:szCs w:val="24"/>
        </w:rPr>
        <w:t xml:space="preserve">, które otrzymają wsparcie w budowie </w:t>
      </w:r>
      <w:r>
        <w:rPr>
          <w:sz w:val="24"/>
          <w:szCs w:val="24"/>
        </w:rPr>
        <w:t xml:space="preserve">lokalnej sieci współpracy szkół </w:t>
      </w:r>
      <w:r w:rsidRPr="00DB0CD5">
        <w:rPr>
          <w:sz w:val="24"/>
          <w:szCs w:val="24"/>
        </w:rPr>
        <w:t>i placówek oraz w kreowaniu polityki oświatowej.</w:t>
      </w:r>
    </w:p>
    <w:p w:rsidR="00DB0CD5" w:rsidRPr="00DB0CD5" w:rsidRDefault="00DB0CD5" w:rsidP="00DB0CD5">
      <w:pPr>
        <w:spacing w:line="360" w:lineRule="auto"/>
        <w:jc w:val="both"/>
        <w:rPr>
          <w:sz w:val="24"/>
          <w:szCs w:val="24"/>
        </w:rPr>
      </w:pPr>
      <w:r w:rsidRPr="00DB0CD5">
        <w:rPr>
          <w:sz w:val="24"/>
          <w:szCs w:val="24"/>
        </w:rPr>
        <w:t>Najważniejsze dla samorządów lokalnych zalety wprowadzenia nowego systemu wsparcia</w:t>
      </w:r>
      <w:r>
        <w:rPr>
          <w:sz w:val="24"/>
          <w:szCs w:val="24"/>
        </w:rPr>
        <w:t>: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efektywniejsza organizacja kompleksowego wsparcia szkół. Komasacja zasobów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kadrowych różnych instytucji odpowiedzialnych za udzielanie pomocy uczniom,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rodzicom i nauczycielom z jednej strony pozwoli do lepsze wykorzystanie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specjalistów z drugiej zaś strony może przyczynić się do obniżenie 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nie merytorycznych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kosztów funkcjonowania tych instytucji (wspólna administracja i księgowość)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poprawa oferty edukacyjnej i jakości kształcenia w szkołach działających na terenie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danego samorządu (pomoc w rozwiązywaniu konkretnych problemów szkół, co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przyczynia się do lepszych efektów kształcenia)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ułatwienie dostępu uczniów oraz ich rodziców do rzetelnej diagnozy i pomocy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pedagogiczno-psychologicznej (realizacja części dotychczasowych działań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lastRenderedPageBreak/>
        <w:t>prowadzonych przez poradnie pedagogiczno-psychologiczne bezpośrednio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w siedzibie szkoły)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wykorzystanie forum wymiany doświadczeń do kreowania lokalnej polityki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oświatowej</w:t>
      </w:r>
      <w:r>
        <w:rPr>
          <w:rFonts w:ascii="Arial" w:eastAsiaTheme="minorHAnsi" w:hAnsi="Arial" w:cs="Arial"/>
          <w:color w:val="000000" w:themeColor="text1"/>
          <w:u w:color="000000" w:themeColor="text1"/>
          <w:lang w:eastAsia="en-US"/>
        </w:rPr>
        <w:t>.</w:t>
      </w:r>
      <w:bookmarkStart w:id="0" w:name="_GoBack"/>
      <w:bookmarkEnd w:id="0"/>
    </w:p>
    <w:sectPr w:rsidR="00DB0CD5" w:rsidRPr="00DB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D7" w:rsidRDefault="006422D7" w:rsidP="00210BBF">
      <w:pPr>
        <w:spacing w:after="0" w:line="240" w:lineRule="auto"/>
      </w:pPr>
      <w:r>
        <w:separator/>
      </w:r>
    </w:p>
  </w:endnote>
  <w:endnote w:type="continuationSeparator" w:id="0">
    <w:p w:rsidR="006422D7" w:rsidRDefault="006422D7" w:rsidP="0021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D7" w:rsidRDefault="006422D7" w:rsidP="00210BBF">
      <w:pPr>
        <w:spacing w:after="0" w:line="240" w:lineRule="auto"/>
      </w:pPr>
      <w:r>
        <w:separator/>
      </w:r>
    </w:p>
  </w:footnote>
  <w:footnote w:type="continuationSeparator" w:id="0">
    <w:p w:rsidR="006422D7" w:rsidRDefault="006422D7" w:rsidP="00210BBF">
      <w:pPr>
        <w:spacing w:after="0" w:line="240" w:lineRule="auto"/>
      </w:pPr>
      <w:r>
        <w:continuationSeparator/>
      </w:r>
    </w:p>
  </w:footnote>
  <w:footnote w:id="1">
    <w:p w:rsidR="00210BBF" w:rsidRDefault="00210BBF" w:rsidP="00210B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Za: </w:t>
      </w:r>
      <w:r w:rsidRPr="00210BBF">
        <w:t>Pintal D., Tomaszewicz D., Materiały szkoleniowe - przewodnik metodyczny do realizacji programów szkoleniowo – doradczych dla przedstawicieli jednostek samorządu terytorialnego, Ośrodek Rozwoju Edukacji, Warszawa 2017</w:t>
      </w:r>
    </w:p>
  </w:footnote>
  <w:footnote w:id="2">
    <w:p w:rsidR="00210BBF" w:rsidRDefault="00210BBF" w:rsidP="00210BBF">
      <w:pPr>
        <w:pStyle w:val="Tekstprzypisudolnego"/>
        <w:spacing w:line="360" w:lineRule="auto"/>
        <w:jc w:val="both"/>
      </w:pPr>
      <w:r w:rsidRPr="00210BBF">
        <w:rPr>
          <w:vertAlign w:val="superscript"/>
        </w:rPr>
        <w:footnoteRef/>
      </w:r>
      <w:r w:rsidRPr="00210BBF">
        <w:rPr>
          <w:vertAlign w:val="superscript"/>
        </w:rPr>
        <w:t xml:space="preserve"> </w:t>
      </w:r>
      <w:r>
        <w:t xml:space="preserve">Akt uznany za uchylony dn. 01 września 2017 r. </w:t>
      </w:r>
      <w:r w:rsidRPr="00210BBF">
        <w:t xml:space="preserve"> Obowiązującym aktem prawnym jest Rozporządzenie Ministra Edukacji Narodowej z dnia 11 sierpnia 2017 r. w sprawie wymagań wobec szkół i placówek</w:t>
      </w:r>
      <w:r>
        <w:t xml:space="preserve">, które weszło w życie z dniem 01 września 2017 r. </w:t>
      </w:r>
    </w:p>
  </w:footnote>
  <w:footnote w:id="3">
    <w:p w:rsidR="00210BBF" w:rsidRPr="00210BBF" w:rsidRDefault="00210BBF" w:rsidP="00210BBF">
      <w:pPr>
        <w:spacing w:line="360" w:lineRule="auto"/>
        <w:jc w:val="both"/>
        <w:rPr>
          <w:sz w:val="20"/>
          <w:szCs w:val="20"/>
        </w:rPr>
      </w:pPr>
      <w:r w:rsidRPr="00210BBF">
        <w:rPr>
          <w:sz w:val="20"/>
          <w:szCs w:val="20"/>
          <w:vertAlign w:val="superscript"/>
        </w:rPr>
        <w:footnoteRef/>
      </w:r>
      <w:r w:rsidRPr="00210BBF">
        <w:rPr>
          <w:sz w:val="20"/>
          <w:szCs w:val="20"/>
          <w:vertAlign w:val="superscript"/>
        </w:rPr>
        <w:t xml:space="preserve"> </w:t>
      </w:r>
      <w:r w:rsidRPr="00210BBF">
        <w:rPr>
          <w:sz w:val="20"/>
          <w:szCs w:val="20"/>
        </w:rPr>
        <w:t>Niniejsze rozporządzenie było poprzedzone rozporządzeniem Ministra Edukacji Narodowej z dnia 6 sie</w:t>
      </w:r>
      <w:r>
        <w:rPr>
          <w:sz w:val="20"/>
          <w:szCs w:val="20"/>
        </w:rPr>
        <w:t xml:space="preserve">rpnia 2015 r. w sprawie wymagań </w:t>
      </w:r>
      <w:r w:rsidRPr="00210BBF">
        <w:rPr>
          <w:sz w:val="20"/>
          <w:szCs w:val="20"/>
        </w:rPr>
        <w:t>wobec szkół i placówek (Dz. U. poz. 1214), które traci moc z dniem wejścia w życie nin</w:t>
      </w:r>
      <w:r>
        <w:rPr>
          <w:sz w:val="20"/>
          <w:szCs w:val="20"/>
        </w:rPr>
        <w:t xml:space="preserve">iejszego rozporządzenia zgodnie </w:t>
      </w:r>
      <w:r w:rsidRPr="00210BBF">
        <w:rPr>
          <w:sz w:val="20"/>
          <w:szCs w:val="20"/>
        </w:rPr>
        <w:t>z art. 365 ustawy z dnia 14 grudnia 2016 r. – Przepisy wprowadzające ustawę – Prawo oświatowe (Dz. U. z 2017 r. poz. 60 i 949).</w:t>
      </w:r>
    </w:p>
  </w:footnote>
  <w:footnote w:id="4">
    <w:p w:rsidR="00210BBF" w:rsidRDefault="00210BBF" w:rsidP="00210BBF">
      <w:pPr>
        <w:pStyle w:val="Tekstprzypisudolnego"/>
        <w:spacing w:line="360" w:lineRule="auto"/>
        <w:jc w:val="both"/>
      </w:pPr>
      <w:r w:rsidRPr="00210BBF">
        <w:rPr>
          <w:vertAlign w:val="superscript"/>
        </w:rPr>
        <w:footnoteRef/>
      </w:r>
      <w:r w:rsidRPr="00210BBF">
        <w:rPr>
          <w:vertAlign w:val="superscript"/>
        </w:rPr>
        <w:t xml:space="preserve"> </w:t>
      </w:r>
      <w:r>
        <w:t>Wymaganie to w obecnym Rozporządzeniu jest 9 wymaganiem, zaś w poprzednim Rozporządzeniu było wymaganiem 12.</w:t>
      </w:r>
    </w:p>
  </w:footnote>
  <w:footnote w:id="5">
    <w:p w:rsidR="00DB0CD5" w:rsidRDefault="00DB0CD5">
      <w:pPr>
        <w:pStyle w:val="Tekstprzypisudolnego"/>
      </w:pPr>
      <w:r>
        <w:rPr>
          <w:rStyle w:val="Odwoanieprzypisudolnego"/>
        </w:rPr>
        <w:footnoteRef/>
      </w:r>
      <w:r>
        <w:t xml:space="preserve"> Za: </w:t>
      </w:r>
      <w:r w:rsidRPr="00DB0CD5">
        <w:t>https://www.ore.edu.pl/materialy-do-pobrania/category/119-nowy-system-wsparcia-szkoy?download=357:nowy-system-kompleksowego-wsparcia-pracy-szkoy</w:t>
      </w:r>
      <w:r>
        <w:t xml:space="preserve">; dostęp z dn. 23.12.2017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45AD"/>
    <w:multiLevelType w:val="hybridMultilevel"/>
    <w:tmpl w:val="75A4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C15"/>
    <w:multiLevelType w:val="hybridMultilevel"/>
    <w:tmpl w:val="B0BA6B88"/>
    <w:lvl w:ilvl="0" w:tplc="A7AAB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A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6B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27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E2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8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4D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E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C8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BF"/>
    <w:rsid w:val="00210BBF"/>
    <w:rsid w:val="006422D7"/>
    <w:rsid w:val="009D278A"/>
    <w:rsid w:val="00DB0CD5"/>
    <w:rsid w:val="00EB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039F-CDAE-4E13-B613-0AD9092C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B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B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BB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B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0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3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9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0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7DE8-91E3-4E91-8AA9-1604DE15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Zofia Domaradzka</cp:lastModifiedBy>
  <cp:revision>2</cp:revision>
  <dcterms:created xsi:type="dcterms:W3CDTF">2017-12-26T10:37:00Z</dcterms:created>
  <dcterms:modified xsi:type="dcterms:W3CDTF">2017-12-26T10:37:00Z</dcterms:modified>
</cp:coreProperties>
</file>